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Simplified Arabic" w:cs="Simplified Arabic" w:eastAsia="Simplified Arabic" w:hAnsi="Simplified Arabic"/>
          <w:b w:val="1"/>
          <w:color w:val="66053a"/>
          <w:sz w:val="76"/>
          <w:szCs w:val="76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الندوة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الثالثة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الاتجاهات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الجديدة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الدراسات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اللغوية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11-10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تشرين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الثاني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2025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انقرة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تركيا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both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ستقوم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جامعة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أنقرة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للعلوم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0"/>
        </w:rPr>
        <w:t xml:space="preserve">ASBÜ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وجامعة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خوجا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يسوي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التركية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القازاقستانية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الندوة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الثالثة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الاتجاهات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الجديدة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الدراسات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اللغوية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ستتم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مناقشة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الدراسات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اللغوية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العالم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الحادي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والعشرين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شامل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تهدف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الندوة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تناول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مصطلح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جوانبها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تشكل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أهم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عنصر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التواصل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وتحدد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اتجاهات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حياتهم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الدولي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المواضيع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سيتم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التركيز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الدور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تلعبه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مجالات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التكنولوجيا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وتطبيقات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الذكاء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الاصطناعي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والتعددية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اللغوية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والهجرة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والسياحة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والصحة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والأدب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والمشكلات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تظهر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المجالات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مدى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إسهام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إيجاد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الحلول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العالم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المتغير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بسرعة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يتطلب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النظر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التطبيقات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والدراسات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الحالية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ومناقشة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التوجهات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والمقاربات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الجديدة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مؤسستنا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وبصفتها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جامعة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متخصصة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تمتلك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رسالة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تتمثل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الإسهام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تقدم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والمجتمع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والإنسانية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أنشطة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التعليم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والبحث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وريادة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الأعمال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والمسؤولية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المجتمعية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مجال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تتمتع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برؤية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تقود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خلالها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التقدم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عبر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دراسات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رائدة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الإطار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تهدف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الندوة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المزمع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تنظيمها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الإسهام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الدراسات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اللغوية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المنتظر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الندوة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الثالثة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ست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عقد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10-11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تشرين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2025،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ناقش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المواضيع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تفصيلي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تقديم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مقترحات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للحلول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04">
      <w:pPr>
        <w:bidi w:val="1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• 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تعليم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التركية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كلغة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أجنبية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br w:type="textWrapping"/>
        <w:t xml:space="preserve">• 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دراسات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الترجمة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ضوء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التطورات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التكنولوجية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br w:type="textWrapping"/>
        <w:t xml:space="preserve">• 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الرقمنة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وتقنيات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تعليم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br w:type="textWrapping"/>
        <w:t xml:space="preserve">• 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التعددية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اللغوية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السياسات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اللغوية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والهجرة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br w:type="textWrapping"/>
        <w:t xml:space="preserve">• 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الاتجاهات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الحالية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دراسات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الترجمة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والتوطين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اللغوي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br w:type="textWrapping"/>
        <w:t xml:space="preserve">• 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التواصل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الثقافات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واللغة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br w:type="textWrapping"/>
        <w:t xml:space="preserve">• 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معالجة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الطبيعية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والدراسات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اللغوية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المدعومة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بالذكاء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الاصطناعي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br w:type="textWrapping"/>
        <w:t xml:space="preserve">• 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المناهج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الجديدة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تعليم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اللغات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الأجنبية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br w:type="textWrapping"/>
        <w:t xml:space="preserve">• 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تعلم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والأسرة</w:t>
      </w:r>
    </w:p>
    <w:p w:rsidR="00000000" w:rsidDel="00000000" w:rsidP="00000000" w:rsidRDefault="00000000" w:rsidRPr="00000000" w14:paraId="00000005">
      <w:pPr>
        <w:bidi w:val="1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ورقة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بحثية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مرسلة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الندوة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ستخضع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لمراجعة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مزدوجة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محكمين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سري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الأوراق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البحثية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المقبولة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ست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نشر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ملخصات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الندوة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النصوص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الكاملة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فست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نشر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ككتاب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إلكتروني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يحمل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رقم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0"/>
        </w:rPr>
        <w:t xml:space="preserve">ISBN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المشاركة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الندوة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مجانية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الأوراق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المكتوبة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باللغات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التركية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الروسية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الصينية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والإنجليزية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لمزيد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التفاصيل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الندوة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يمكنكم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زيارة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الموقع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التالي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1"/>
        </w:rPr>
        <w:t xml:space="preserve"> :  </w:t>
      </w:r>
      <w:hyperlink r:id="rId7">
        <w:r w:rsidDel="00000000" w:rsidR="00000000" w:rsidRPr="00000000">
          <w:rPr>
            <w:rFonts w:ascii="Simplified Arabic" w:cs="Simplified Arabic" w:eastAsia="Simplified Arabic" w:hAnsi="Simplified Arabic"/>
            <w:color w:val="467886"/>
            <w:sz w:val="24"/>
            <w:szCs w:val="24"/>
            <w:u w:val="single"/>
            <w:rtl w:val="0"/>
          </w:rPr>
          <w:t xml:space="preserve">https://ils.asbu.edu.tr/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فائق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الاحترام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،</w:t>
        <w:br w:type="textWrapping"/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رئيس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اللجنة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المنظمة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للندوة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br w:type="textWrapping"/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الأستاذ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الدكتور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جاكر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Simplified Arabic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link w:val="Balk1Char"/>
    <w:uiPriority w:val="9"/>
    <w:qFormat w:val="1"/>
    <w:rsid w:val="00116BB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116BB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 w:val="1"/>
    <w:unhideWhenUsed w:val="1"/>
    <w:qFormat w:val="1"/>
    <w:rsid w:val="00116BB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116BB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116BB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116BB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116BB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116BB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116BB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VarsaylanParagrafYazTipi" w:default="1">
    <w:name w:val="Default Paragraph Font"/>
    <w:uiPriority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116BB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116BB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semiHidden w:val="1"/>
    <w:rsid w:val="00116BB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116BB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116BB2"/>
    <w:rPr>
      <w:rFonts w:cstheme="majorBidi" w:eastAsiaTheme="majorEastAsia"/>
      <w:color w:val="0f4761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116BB2"/>
    <w:rPr>
      <w:rFonts w:cstheme="majorBidi" w:eastAsiaTheme="majorEastAsia"/>
      <w:i w:val="1"/>
      <w:iCs w:val="1"/>
      <w:color w:val="595959" w:themeColor="text1" w:themeTint="0000A6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116BB2"/>
    <w:rPr>
      <w:rFonts w:cstheme="majorBidi" w:eastAsiaTheme="majorEastAsia"/>
      <w:color w:val="595959" w:themeColor="text1" w:themeTint="0000A6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116BB2"/>
    <w:rPr>
      <w:rFonts w:cstheme="majorBidi" w:eastAsiaTheme="majorEastAsia"/>
      <w:i w:val="1"/>
      <w:iCs w:val="1"/>
      <w:color w:val="272727" w:themeColor="text1" w:themeTint="0000D8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116BB2"/>
    <w:rPr>
      <w:rFonts w:cstheme="majorBidi" w:eastAsiaTheme="majorEastAsia"/>
      <w:color w:val="272727" w:themeColor="text1" w:themeTint="0000D8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116BB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116BB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116BB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116BB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 w:val="1"/>
    <w:rsid w:val="00116BB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rsid w:val="00116BB2"/>
    <w:rPr>
      <w:i w:val="1"/>
      <w:iCs w:val="1"/>
      <w:color w:val="404040" w:themeColor="text1" w:themeTint="0000BF"/>
    </w:rPr>
  </w:style>
  <w:style w:type="paragraph" w:styleId="ListeParagraf">
    <w:name w:val="List Paragraph"/>
    <w:basedOn w:val="Normal"/>
    <w:uiPriority w:val="34"/>
    <w:qFormat w:val="1"/>
    <w:rsid w:val="00116BB2"/>
    <w:pPr>
      <w:ind w:left="720"/>
      <w:contextualSpacing w:val="1"/>
    </w:pPr>
  </w:style>
  <w:style w:type="character" w:styleId="GlVurgulama">
    <w:name w:val="Intense Emphasis"/>
    <w:basedOn w:val="VarsaylanParagrafYazTipi"/>
    <w:uiPriority w:val="21"/>
    <w:qFormat w:val="1"/>
    <w:rsid w:val="00116BB2"/>
    <w:rPr>
      <w:i w:val="1"/>
      <w:iCs w:val="1"/>
      <w:color w:val="0f4761" w:themeColor="accent1" w:themeShade="0000BF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116BB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116BB2"/>
    <w:rPr>
      <w:i w:val="1"/>
      <w:iCs w:val="1"/>
      <w:color w:val="0f4761" w:themeColor="accent1" w:themeShade="0000BF"/>
    </w:rPr>
  </w:style>
  <w:style w:type="character" w:styleId="GlBavuru">
    <w:name w:val="Intense Reference"/>
    <w:basedOn w:val="VarsaylanParagrafYazTipi"/>
    <w:uiPriority w:val="32"/>
    <w:qFormat w:val="1"/>
    <w:rsid w:val="00116BB2"/>
    <w:rPr>
      <w:b w:val="1"/>
      <w:bCs w:val="1"/>
      <w:smallCaps w:val="1"/>
      <w:color w:val="0f4761" w:themeColor="accent1" w:themeShade="0000BF"/>
      <w:spacing w:val="5"/>
    </w:rPr>
  </w:style>
  <w:style w:type="character" w:styleId="Kpr">
    <w:name w:val="Hyperlink"/>
    <w:basedOn w:val="VarsaylanParagrafYazTipi"/>
    <w:uiPriority w:val="99"/>
    <w:unhideWhenUsed w:val="1"/>
    <w:rsid w:val="00116BB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 w:val="1"/>
    <w:unhideWhenUsed w:val="1"/>
    <w:rsid w:val="00116BB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ls.asbu.edu.t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O0vF0CUPJ1pHrn4Ryh7E45ulg==">CgMxLjA4AHIhMXZYYnlJdnNVNk1iYW5yZUhoUTJmWWxHVzRGOW10QkVo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2025-05-16T09:33:00Z</dcterms:created>
  <dc:creator>Bilal İzzettin</dc:creator>
</cp:coreProperties>
</file>