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w:cs="Times" w:eastAsia="Times" w:hAnsi="Times"/>
          <w:b w:val="1"/>
        </w:rPr>
      </w:pPr>
      <w:r w:rsidDel="00000000" w:rsidR="00000000" w:rsidRPr="00000000">
        <w:rPr>
          <w:rFonts w:ascii="Times" w:cs="Times" w:eastAsia="Times" w:hAnsi="Times"/>
          <w:b w:val="1"/>
          <w:rtl w:val="0"/>
        </w:rPr>
        <w:t xml:space="preserve">III SIMPOSIO INTERNACIONAL SOBRE NUEVAS ORIENTACIONES EN LOS ESTUDIOS LINGÜÍSTICOS</w:t>
      </w:r>
    </w:p>
    <w:p w:rsidR="00000000" w:rsidDel="00000000" w:rsidP="00000000" w:rsidRDefault="00000000" w:rsidRPr="00000000" w14:paraId="00000002">
      <w:pPr>
        <w:spacing w:line="240" w:lineRule="auto"/>
        <w:jc w:val="center"/>
        <w:rPr>
          <w:rFonts w:ascii="Times" w:cs="Times" w:eastAsia="Times" w:hAnsi="Times"/>
          <w:b w:val="1"/>
        </w:rPr>
      </w:pPr>
      <w:r w:rsidDel="00000000" w:rsidR="00000000" w:rsidRPr="00000000">
        <w:rPr>
          <w:rtl w:val="0"/>
        </w:rPr>
      </w:r>
    </w:p>
    <w:p w:rsidR="00000000" w:rsidDel="00000000" w:rsidP="00000000" w:rsidRDefault="00000000" w:rsidRPr="00000000" w14:paraId="00000003">
      <w:pPr>
        <w:spacing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(10 y 11 de octubre de 2025, Ankara, Turquía / Turquestán, Kazajistán  )</w:t>
      </w:r>
    </w:p>
    <w:p w:rsidR="00000000" w:rsidDel="00000000" w:rsidP="00000000" w:rsidRDefault="00000000" w:rsidRPr="00000000" w14:paraId="00000004">
      <w:pPr>
        <w:spacing w:line="240" w:lineRule="auto"/>
        <w:jc w:val="center"/>
        <w:rPr>
          <w:rFonts w:ascii="Times" w:cs="Times" w:eastAsia="Times" w:hAnsi="Times"/>
          <w:b w:val="1"/>
          <w:i w:val="1"/>
        </w:rPr>
      </w:pPr>
      <w:r w:rsidDel="00000000" w:rsidR="00000000" w:rsidRPr="00000000">
        <w:rPr>
          <w:rtl w:val="0"/>
        </w:rPr>
      </w:r>
    </w:p>
    <w:p w:rsidR="00000000" w:rsidDel="00000000" w:rsidP="00000000" w:rsidRDefault="00000000" w:rsidRPr="00000000" w14:paraId="00000005">
      <w:pPr>
        <w:spacing w:after="240" w:before="240" w:lineRule="auto"/>
        <w:jc w:val="both"/>
        <w:rPr>
          <w:rFonts w:ascii="Cambria" w:cs="Cambria" w:eastAsia="Cambria" w:hAnsi="Cambria"/>
        </w:rPr>
      </w:pPr>
      <w:r w:rsidDel="00000000" w:rsidR="00000000" w:rsidRPr="00000000">
        <w:rPr>
          <w:rFonts w:ascii="Cambria" w:cs="Cambria" w:eastAsia="Cambria" w:hAnsi="Cambria"/>
          <w:rtl w:val="0"/>
        </w:rPr>
        <w:t xml:space="preserve">El </w:t>
      </w:r>
      <w:r w:rsidDel="00000000" w:rsidR="00000000" w:rsidRPr="00000000">
        <w:rPr>
          <w:rFonts w:ascii="Cambria" w:cs="Cambria" w:eastAsia="Cambria" w:hAnsi="Cambria"/>
          <w:b w:val="1"/>
          <w:i w:val="1"/>
          <w:rtl w:val="0"/>
        </w:rPr>
        <w:t xml:space="preserve">III Simposio Internacional sobre Nuevas Orientaciones en los Estudios Lingüísticos</w:t>
      </w:r>
      <w:r w:rsidDel="00000000" w:rsidR="00000000" w:rsidRPr="00000000">
        <w:rPr>
          <w:rFonts w:ascii="Cambria" w:cs="Cambria" w:eastAsia="Cambria" w:hAnsi="Cambria"/>
          <w:rtl w:val="0"/>
        </w:rPr>
        <w:t xml:space="preserve">, organizado conjuntamente por la Facultad de Lenguas Extranjeras de la Universidad de Ciencias Sociales de Ankara (ASBÜ) y la Facultad de Filología de la Universidad Internacional Kazajo-Turca Ahmad Yasavi, tiene como objetivo explorar de manera integral los estudios lingüísticos en el siglo XXI. El simposio se propone abordar todos los aspectos del concepto de lengua, entendida como el elemento más fundamental de la comunicación y una fuerza orientadora en la vida de las personas a nivel internacional. Se pondrá especial atención en cómo la lengua se posiciona con diversos propósitos y contenidos en campos como los desarrollos tecnológicos, las aplicaciones de inteligencia artificial, el multilingüismo, la migración, el turismo, la salud, la literatura, la tecnología y la educación; así como en el papel que desempeña en la resolución de los problemas que surgen en dichos ámbitos. En un mundo que cambia rápidamente, es cada vez más necesario revisar las prácticas y estudios actuales, así como debatir sobre nuevas tendencias y enfoques.</w:t>
      </w:r>
    </w:p>
    <w:p w:rsidR="00000000" w:rsidDel="00000000" w:rsidP="00000000" w:rsidRDefault="00000000" w:rsidRPr="00000000" w14:paraId="00000006">
      <w:pPr>
        <w:spacing w:after="240" w:before="240" w:lineRule="auto"/>
        <w:jc w:val="both"/>
        <w:rPr>
          <w:rFonts w:ascii="Times" w:cs="Times" w:eastAsia="Times" w:hAnsi="Times"/>
        </w:rPr>
      </w:pPr>
      <w:r w:rsidDel="00000000" w:rsidR="00000000" w:rsidRPr="00000000">
        <w:rPr>
          <w:rFonts w:ascii="Cambria" w:cs="Cambria" w:eastAsia="Cambria" w:hAnsi="Cambria"/>
          <w:rtl w:val="0"/>
        </w:rPr>
        <w:t xml:space="preserve">Como universidad especializada, nuestra institución tiene la misión de contribuir al progreso de la ciencia, la sociedad y la humanidad a través de la educación, la investigación, el emprendimiento y la responsabilidad social en el campo de las Ciencias Sociales. Asimismo, posee la visión de liderar el avance en este campo mediante estudios pioneros. En coherencia con esta visión, el simposio —coordinado por la Facultad de Lenguas Extranjeras y apoyado por la Escuela de Lenguas Extranjeras y DILMER— busca aportar significativamente a los estudios lingüísticos internacionales. El simposio, que tendrá lugar  los días </w:t>
      </w:r>
      <w:r w:rsidDel="00000000" w:rsidR="00000000" w:rsidRPr="00000000">
        <w:rPr>
          <w:rFonts w:ascii="Cambria" w:cs="Cambria" w:eastAsia="Cambria" w:hAnsi="Cambria"/>
          <w:b w:val="1"/>
          <w:rtl w:val="0"/>
        </w:rPr>
        <w:t xml:space="preserve">10 y 11 de octubre de 2025</w:t>
      </w:r>
      <w:r w:rsidDel="00000000" w:rsidR="00000000" w:rsidRPr="00000000">
        <w:rPr>
          <w:rFonts w:ascii="Cambria" w:cs="Cambria" w:eastAsia="Cambria" w:hAnsi="Cambria"/>
          <w:rtl w:val="0"/>
        </w:rPr>
        <w:t xml:space="preserve">, se centrará en los siguientes temas:</w:t>
      </w:r>
      <w:r w:rsidDel="00000000" w:rsidR="00000000" w:rsidRPr="00000000">
        <w:rPr>
          <w:rtl w:val="0"/>
        </w:rPr>
      </w:r>
    </w:p>
    <w:p w:rsidR="00000000" w:rsidDel="00000000" w:rsidP="00000000" w:rsidRDefault="00000000" w:rsidRPr="00000000" w14:paraId="00000007">
      <w:pPr>
        <w:numPr>
          <w:ilvl w:val="0"/>
          <w:numId w:val="1"/>
        </w:numPr>
        <w:spacing w:after="0" w:afterAutospacing="0" w:before="240"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Nuevos enfoques en la enseñanza de lenguas extranjeras</w:t>
      </w:r>
    </w:p>
    <w:p w:rsidR="00000000" w:rsidDel="00000000" w:rsidP="00000000" w:rsidRDefault="00000000" w:rsidRPr="00000000" w14:paraId="00000008">
      <w:pPr>
        <w:numPr>
          <w:ilvl w:val="0"/>
          <w:numId w:val="1"/>
        </w:numPr>
        <w:spacing w:after="0" w:afterAutospacing="0" w:before="0" w:beforeAutospacing="0"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Enseñanza del turco como lengua extranjera</w:t>
      </w:r>
    </w:p>
    <w:p w:rsidR="00000000" w:rsidDel="00000000" w:rsidP="00000000" w:rsidRDefault="00000000" w:rsidRPr="00000000" w14:paraId="00000009">
      <w:pPr>
        <w:numPr>
          <w:ilvl w:val="0"/>
          <w:numId w:val="1"/>
        </w:numPr>
        <w:spacing w:after="0" w:afterAutospacing="0" w:before="0" w:beforeAutospacing="0"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Estudios de traducción a la luz de los avances tecnológicos</w:t>
      </w:r>
    </w:p>
    <w:p w:rsidR="00000000" w:rsidDel="00000000" w:rsidP="00000000" w:rsidRDefault="00000000" w:rsidRPr="00000000" w14:paraId="0000000A">
      <w:pPr>
        <w:numPr>
          <w:ilvl w:val="0"/>
          <w:numId w:val="1"/>
        </w:numPr>
        <w:spacing w:after="0" w:afterAutospacing="0" w:before="0" w:beforeAutospacing="0"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Digitalización y tecnologías para la enseñanza de lenguas</w:t>
      </w:r>
    </w:p>
    <w:p w:rsidR="00000000" w:rsidDel="00000000" w:rsidP="00000000" w:rsidRDefault="00000000" w:rsidRPr="00000000" w14:paraId="0000000B">
      <w:pPr>
        <w:numPr>
          <w:ilvl w:val="0"/>
          <w:numId w:val="1"/>
        </w:numPr>
        <w:spacing w:after="0" w:afterAutospacing="0" w:before="0" w:beforeAutospacing="0"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Multilingüismo, políticas lingüísticas y migración</w:t>
      </w:r>
    </w:p>
    <w:p w:rsidR="00000000" w:rsidDel="00000000" w:rsidP="00000000" w:rsidRDefault="00000000" w:rsidRPr="00000000" w14:paraId="0000000C">
      <w:pPr>
        <w:numPr>
          <w:ilvl w:val="0"/>
          <w:numId w:val="1"/>
        </w:numPr>
        <w:spacing w:after="0" w:afterAutospacing="0" w:before="0" w:beforeAutospacing="0"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Tendencias actuales en estudios de traducción y localización</w:t>
      </w:r>
    </w:p>
    <w:p w:rsidR="00000000" w:rsidDel="00000000" w:rsidP="00000000" w:rsidRDefault="00000000" w:rsidRPr="00000000" w14:paraId="0000000D">
      <w:pPr>
        <w:numPr>
          <w:ilvl w:val="0"/>
          <w:numId w:val="1"/>
        </w:numPr>
        <w:spacing w:after="0" w:afterAutospacing="0" w:before="0" w:beforeAutospacing="0"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Comunicación intercultural y lengua</w:t>
      </w:r>
    </w:p>
    <w:p w:rsidR="00000000" w:rsidDel="00000000" w:rsidP="00000000" w:rsidRDefault="00000000" w:rsidRPr="00000000" w14:paraId="0000000E">
      <w:pPr>
        <w:numPr>
          <w:ilvl w:val="0"/>
          <w:numId w:val="1"/>
        </w:numPr>
        <w:spacing w:after="0" w:afterAutospacing="0" w:before="0" w:beforeAutospacing="0"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Procesamiento del lenguaje natural y estudios lingüísticos con apoyo de IA</w:t>
      </w:r>
    </w:p>
    <w:p w:rsidR="00000000" w:rsidDel="00000000" w:rsidP="00000000" w:rsidRDefault="00000000" w:rsidRPr="00000000" w14:paraId="0000000F">
      <w:pPr>
        <w:numPr>
          <w:ilvl w:val="0"/>
          <w:numId w:val="1"/>
        </w:numPr>
        <w:spacing w:after="0" w:afterAutospacing="0" w:before="0" w:beforeAutospacing="0"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La familia en la literatura</w:t>
      </w:r>
    </w:p>
    <w:p w:rsidR="00000000" w:rsidDel="00000000" w:rsidP="00000000" w:rsidRDefault="00000000" w:rsidRPr="00000000" w14:paraId="00000010">
      <w:pPr>
        <w:numPr>
          <w:ilvl w:val="0"/>
          <w:numId w:val="1"/>
        </w:numPr>
        <w:spacing w:after="240" w:before="0" w:beforeAutospacing="0"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Aprendizaje de lenguas y familia</w:t>
      </w:r>
      <w:r w:rsidDel="00000000" w:rsidR="00000000" w:rsidRPr="00000000">
        <w:rPr>
          <w:rtl w:val="0"/>
        </w:rPr>
      </w:r>
    </w:p>
    <w:p w:rsidR="00000000" w:rsidDel="00000000" w:rsidP="00000000" w:rsidRDefault="00000000" w:rsidRPr="00000000" w14:paraId="00000011">
      <w:pPr>
        <w:spacing w:after="240" w:before="240" w:lineRule="auto"/>
        <w:jc w:val="both"/>
        <w:rPr>
          <w:rFonts w:ascii="Times" w:cs="Times" w:eastAsia="Times" w:hAnsi="Times"/>
        </w:rPr>
      </w:pPr>
      <w:r w:rsidDel="00000000" w:rsidR="00000000" w:rsidRPr="00000000">
        <w:rPr>
          <w:rFonts w:ascii="Cambria" w:cs="Cambria" w:eastAsia="Cambria" w:hAnsi="Cambria"/>
          <w:rtl w:val="0"/>
        </w:rPr>
        <w:t xml:space="preserve">El simposio se celebrará simultáneamente en </w:t>
      </w:r>
      <w:r w:rsidDel="00000000" w:rsidR="00000000" w:rsidRPr="00000000">
        <w:rPr>
          <w:rFonts w:ascii="Cambria" w:cs="Cambria" w:eastAsia="Cambria" w:hAnsi="Cambria"/>
          <w:b w:val="1"/>
          <w:rtl w:val="0"/>
        </w:rPr>
        <w:t xml:space="preserve">Ankara (Turquía)</w:t>
      </w:r>
      <w:r w:rsidDel="00000000" w:rsidR="00000000" w:rsidRPr="00000000">
        <w:rPr>
          <w:rFonts w:ascii="Cambria" w:cs="Cambria" w:eastAsia="Cambria" w:hAnsi="Cambria"/>
          <w:rtl w:val="0"/>
        </w:rPr>
        <w:t xml:space="preserve"> y en </w:t>
      </w:r>
      <w:r w:rsidDel="00000000" w:rsidR="00000000" w:rsidRPr="00000000">
        <w:rPr>
          <w:rFonts w:ascii="Cambria" w:cs="Cambria" w:eastAsia="Cambria" w:hAnsi="Cambria"/>
          <w:b w:val="1"/>
          <w:rtl w:val="0"/>
        </w:rPr>
        <w:t xml:space="preserve">Turkestán (Kazajistán)</w:t>
      </w:r>
      <w:r w:rsidDel="00000000" w:rsidR="00000000" w:rsidRPr="00000000">
        <w:rPr>
          <w:rFonts w:ascii="Cambria" w:cs="Cambria" w:eastAsia="Cambria" w:hAnsi="Cambria"/>
          <w:rtl w:val="0"/>
        </w:rPr>
        <w:t xml:space="preserve">. Todas las ponencias enviadas serán </w:t>
      </w:r>
      <w:r w:rsidDel="00000000" w:rsidR="00000000" w:rsidRPr="00000000">
        <w:rPr>
          <w:rFonts w:ascii="Times" w:cs="Times" w:eastAsia="Times" w:hAnsi="Times"/>
          <w:rtl w:val="0"/>
        </w:rPr>
        <w:t xml:space="preserve">sometidas a un </w:t>
      </w:r>
      <w:r w:rsidDel="00000000" w:rsidR="00000000" w:rsidRPr="00000000">
        <w:rPr>
          <w:rFonts w:ascii="Times" w:cs="Times" w:eastAsia="Times" w:hAnsi="Times"/>
          <w:b w:val="1"/>
          <w:rtl w:val="0"/>
        </w:rPr>
        <w:t xml:space="preserve">proceso de evaluación por pares a doble ciego</w:t>
      </w:r>
      <w:r w:rsidDel="00000000" w:rsidR="00000000" w:rsidRPr="00000000">
        <w:rPr>
          <w:rFonts w:ascii="Cambria" w:cs="Cambria" w:eastAsia="Cambria" w:hAnsi="Cambria"/>
          <w:rtl w:val="0"/>
        </w:rPr>
        <w:t xml:space="preserve">. Los trabajos aceptados serán incluidos en el libro de resúmenes y los textos completos se publicarán en formato de libro electrónico con ISBN. La participación en el simposio es gratuita y se aceptarán ponencias redactadas en turco, inglés, ruso, japonés, español, chino o árabe.</w:t>
      </w:r>
      <w:r w:rsidDel="00000000" w:rsidR="00000000" w:rsidRPr="00000000">
        <w:rPr>
          <w:rtl w:val="0"/>
        </w:rPr>
      </w:r>
    </w:p>
    <w:p w:rsidR="00000000" w:rsidDel="00000000" w:rsidP="00000000" w:rsidRDefault="00000000" w:rsidRPr="00000000" w14:paraId="00000012">
      <w:pPr>
        <w:spacing w:after="240" w:before="240" w:lineRule="auto"/>
        <w:jc w:val="both"/>
        <w:rPr>
          <w:rFonts w:ascii="Times" w:cs="Times" w:eastAsia="Times" w:hAnsi="Times"/>
        </w:rPr>
      </w:pPr>
      <w:r w:rsidDel="00000000" w:rsidR="00000000" w:rsidRPr="00000000">
        <w:rPr>
          <w:rFonts w:ascii="Cambria" w:cs="Cambria" w:eastAsia="Cambria" w:hAnsi="Cambria"/>
          <w:rtl w:val="0"/>
        </w:rPr>
        <w:t xml:space="preserve">Para más información, puede visitar:</w:t>
      </w:r>
      <w:hyperlink r:id="rId7">
        <w:r w:rsidDel="00000000" w:rsidR="00000000" w:rsidRPr="00000000">
          <w:rPr>
            <w:rFonts w:ascii="Cambria" w:cs="Cambria" w:eastAsia="Cambria" w:hAnsi="Cambria"/>
            <w:rtl w:val="0"/>
          </w:rPr>
          <w:t xml:space="preserve"> </w:t>
        </w:r>
      </w:hyperlink>
      <w:hyperlink r:id="rId8">
        <w:r w:rsidDel="00000000" w:rsidR="00000000" w:rsidRPr="00000000">
          <w:rPr>
            <w:rFonts w:ascii="Cambria" w:cs="Cambria" w:eastAsia="Cambria" w:hAnsi="Cambria"/>
            <w:color w:val="1155cc"/>
            <w:u w:val="single"/>
            <w:rtl w:val="0"/>
          </w:rPr>
          <w:t xml:space="preserve">https://ils.asbu.edu.tr</w:t>
        </w:r>
      </w:hyperlink>
      <w:r w:rsidDel="00000000" w:rsidR="00000000" w:rsidRPr="00000000">
        <w:rPr>
          <w:rtl w:val="0"/>
        </w:rPr>
      </w:r>
    </w:p>
    <w:p w:rsidR="00000000" w:rsidDel="00000000" w:rsidP="00000000" w:rsidRDefault="00000000" w:rsidRPr="00000000" w14:paraId="00000013">
      <w:pPr>
        <w:spacing w:after="240" w:before="240" w:line="240" w:lineRule="auto"/>
        <w:jc w:val="both"/>
        <w:rPr>
          <w:rFonts w:ascii="Times" w:cs="Times" w:eastAsia="Times" w:hAnsi="Times"/>
        </w:rPr>
      </w:pPr>
      <w:r w:rsidDel="00000000" w:rsidR="00000000" w:rsidRPr="00000000">
        <w:rPr>
          <w:rFonts w:ascii="Times" w:cs="Times" w:eastAsia="Times" w:hAnsi="Times"/>
          <w:rtl w:val="0"/>
        </w:rPr>
        <w:t xml:space="preserve">Atentamente,</w:t>
      </w:r>
    </w:p>
    <w:p w:rsidR="00000000" w:rsidDel="00000000" w:rsidP="00000000" w:rsidRDefault="00000000" w:rsidRPr="00000000" w14:paraId="00000014">
      <w:pPr>
        <w:spacing w:after="240" w:before="240" w:line="240" w:lineRule="auto"/>
        <w:jc w:val="both"/>
        <w:rPr>
          <w:rFonts w:ascii="Times" w:cs="Times" w:eastAsia="Times" w:hAnsi="Times"/>
        </w:rPr>
      </w:pPr>
      <w:r w:rsidDel="00000000" w:rsidR="00000000" w:rsidRPr="00000000">
        <w:rPr>
          <w:rFonts w:ascii="Times" w:cs="Times" w:eastAsia="Times" w:hAnsi="Times"/>
          <w:rtl w:val="0"/>
        </w:rPr>
        <w:t xml:space="preserve">Prof. Dr. İsmail ÇAKIR</w:t>
      </w:r>
    </w:p>
    <w:p w:rsidR="00000000" w:rsidDel="00000000" w:rsidP="00000000" w:rsidRDefault="00000000" w:rsidRPr="00000000" w14:paraId="00000015">
      <w:pPr>
        <w:spacing w:after="240" w:before="240" w:line="240" w:lineRule="auto"/>
        <w:jc w:val="both"/>
        <w:rPr/>
      </w:pPr>
      <w:r w:rsidDel="00000000" w:rsidR="00000000" w:rsidRPr="00000000">
        <w:rPr>
          <w:rFonts w:ascii="Times" w:cs="Times" w:eastAsia="Times" w:hAnsi="Times"/>
          <w:rtl w:val="0"/>
        </w:rPr>
        <w:t xml:space="preserve">Presidente del Comité Organizador del Simposio</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ls.asbu.edu.tr" TargetMode="External"/><Relationship Id="rId8" Type="http://schemas.openxmlformats.org/officeDocument/2006/relationships/hyperlink" Target="https://ils.asb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3zalnhQ1+wTZlDMcW5cYMu2oA==">CgMxLjA4AHIhMXo4Y3plMG85bXBOTkNxMlF1OUtJcHBRR29rV2Vqd0Jq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